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B34BE4" w:rsidRPr="006819D3" w14:paraId="00171B1A" w14:textId="77777777" w:rsidTr="2539CAE0">
        <w:trPr>
          <w:trHeight w:val="563"/>
        </w:trPr>
        <w:tc>
          <w:tcPr>
            <w:tcW w:w="1945" w:type="dxa"/>
            <w:shd w:val="clear" w:color="auto" w:fill="3B7E32"/>
            <w:vAlign w:val="center"/>
          </w:tcPr>
          <w:p w14:paraId="0672B022" w14:textId="60CBF772" w:rsidR="00B34BE4" w:rsidRPr="006A3122" w:rsidRDefault="00B34BE4" w:rsidP="00B34BE4">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B34BE4" w:rsidRPr="001D7C93" w:rsidRDefault="00B34BE4" w:rsidP="00B34BE4">
            <w:pPr>
              <w:pStyle w:val="TableParagraph"/>
              <w:keepLines/>
              <w:widowControl/>
              <w:spacing w:line="223" w:lineRule="exact"/>
              <w:ind w:left="110"/>
              <w:rPr>
                <w:bCs/>
                <w:i/>
                <w:iCs/>
                <w:sz w:val="18"/>
                <w:szCs w:val="20"/>
              </w:rPr>
            </w:pPr>
            <w:r w:rsidRPr="001D7C93">
              <w:rPr>
                <w:bCs/>
                <w:sz w:val="18"/>
                <w:szCs w:val="20"/>
              </w:rPr>
              <w:t xml:space="preserve">What regulatory </w:t>
            </w:r>
            <w:r w:rsidRPr="001D7C93">
              <w:rPr>
                <w:bCs/>
                <w:i/>
                <w:iCs/>
                <w:sz w:val="18"/>
                <w:szCs w:val="20"/>
              </w:rPr>
              <w:t>outcome</w:t>
            </w:r>
            <w:r>
              <w:rPr>
                <w:bCs/>
                <w:i/>
                <w:iCs/>
                <w:sz w:val="18"/>
                <w:szCs w:val="20"/>
              </w:rPr>
              <w:t xml:space="preserve"> </w:t>
            </w:r>
            <w:r>
              <w:rPr>
                <w:bCs/>
                <w:sz w:val="18"/>
                <w:szCs w:val="20"/>
              </w:rPr>
              <w:t xml:space="preserve">or </w:t>
            </w:r>
            <w:r>
              <w:rPr>
                <w:bCs/>
                <w:i/>
                <w:iCs/>
                <w:sz w:val="18"/>
                <w:szCs w:val="20"/>
              </w:rPr>
              <w:t>performance area</w:t>
            </w:r>
            <w:r w:rsidRPr="001D7C93">
              <w:rPr>
                <w:bCs/>
                <w:i/>
                <w:iCs/>
                <w:sz w:val="18"/>
                <w:szCs w:val="20"/>
              </w:rPr>
              <w:t xml:space="preserve"> </w:t>
            </w:r>
            <w:r w:rsidRPr="001D7C93">
              <w:rPr>
                <w:bCs/>
                <w:sz w:val="18"/>
                <w:szCs w:val="20"/>
              </w:rPr>
              <w:t>does this assessment consider?</w:t>
            </w:r>
          </w:p>
        </w:tc>
        <w:tc>
          <w:tcPr>
            <w:tcW w:w="8768" w:type="dxa"/>
            <w:gridSpan w:val="3"/>
            <w:shd w:val="clear" w:color="auto" w:fill="auto"/>
          </w:tcPr>
          <w:p w14:paraId="73482C3A" w14:textId="77777777" w:rsidR="00B34BE4" w:rsidRDefault="00B34BE4" w:rsidP="00B34BE4">
            <w:pPr>
              <w:pStyle w:val="TableParagraph"/>
              <w:keepLines/>
              <w:widowControl/>
              <w:spacing w:line="223" w:lineRule="exact"/>
              <w:ind w:left="110"/>
              <w:rPr>
                <w:sz w:val="20"/>
                <w:szCs w:val="20"/>
              </w:rPr>
            </w:pPr>
            <w:r w:rsidRPr="00102191">
              <w:rPr>
                <w:sz w:val="20"/>
                <w:szCs w:val="20"/>
              </w:rPr>
              <w:t>Environmental justice and equity</w:t>
            </w:r>
          </w:p>
          <w:p w14:paraId="38BC86C2" w14:textId="77777777" w:rsidR="00B34BE4" w:rsidRDefault="00B34BE4" w:rsidP="00B34BE4">
            <w:pPr>
              <w:pStyle w:val="TableParagraph"/>
              <w:keepLines/>
              <w:widowControl/>
              <w:spacing w:line="223" w:lineRule="exact"/>
              <w:ind w:left="110"/>
              <w:rPr>
                <w:sz w:val="20"/>
                <w:szCs w:val="20"/>
              </w:rPr>
            </w:pPr>
            <w:r>
              <w:rPr>
                <w:sz w:val="20"/>
                <w:szCs w:val="20"/>
              </w:rPr>
              <w:t>In particular compliance with the Virginia Clan Economy Act’s (spirit and intent)</w:t>
            </w:r>
          </w:p>
          <w:p w14:paraId="4CCD6E8E" w14:textId="08DAAF03" w:rsidR="00B34BE4" w:rsidRPr="006819D3" w:rsidRDefault="00B34BE4" w:rsidP="00B34BE4">
            <w:pPr>
              <w:pStyle w:val="TableParagraph"/>
              <w:keepLines/>
              <w:widowControl/>
              <w:spacing w:line="223" w:lineRule="exact"/>
              <w:ind w:left="110"/>
              <w:rPr>
                <w:b/>
                <w:sz w:val="18"/>
                <w:szCs w:val="18"/>
              </w:rPr>
            </w:pPr>
            <w:r>
              <w:rPr>
                <w:sz w:val="20"/>
                <w:szCs w:val="20"/>
              </w:rPr>
              <w:t>It is understood that the legislature gave a “reliability exit” but the intent is to implement all items.</w:t>
            </w:r>
          </w:p>
        </w:tc>
      </w:tr>
      <w:tr w:rsidR="00B34BE4" w:rsidRPr="00AB56BB" w14:paraId="24ADA6B9" w14:textId="77777777" w:rsidTr="2539CAE0">
        <w:tc>
          <w:tcPr>
            <w:tcW w:w="12963" w:type="dxa"/>
            <w:gridSpan w:val="6"/>
            <w:shd w:val="clear" w:color="auto" w:fill="3B7E32"/>
          </w:tcPr>
          <w:p w14:paraId="3958F4A1" w14:textId="570D5F43" w:rsidR="00B34BE4" w:rsidRPr="00AB56BB" w:rsidRDefault="00B34BE4" w:rsidP="00B34BE4">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B34BE4" w:rsidRPr="00AB56BB" w14:paraId="11E209F4" w14:textId="77777777" w:rsidTr="2539CAE0">
        <w:tc>
          <w:tcPr>
            <w:tcW w:w="1945" w:type="dxa"/>
          </w:tcPr>
          <w:p w14:paraId="34E1BFB4" w14:textId="77777777" w:rsidR="00B34BE4" w:rsidRPr="00AB56BB" w:rsidRDefault="00B34BE4" w:rsidP="00B34BE4">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B34BE4" w:rsidRPr="00AB56BB" w:rsidRDefault="00B34BE4" w:rsidP="00B34BE4">
            <w:pPr>
              <w:pStyle w:val="TableParagraph"/>
              <w:keepLines/>
              <w:widowControl/>
              <w:rPr>
                <w:rFonts w:ascii="Times New Roman"/>
                <w:sz w:val="18"/>
                <w:szCs w:val="20"/>
              </w:rPr>
            </w:pPr>
          </w:p>
        </w:tc>
      </w:tr>
      <w:tr w:rsidR="00B34BE4" w:rsidRPr="00AB56BB" w14:paraId="64E5BDC2" w14:textId="77777777" w:rsidTr="2539CAE0">
        <w:tc>
          <w:tcPr>
            <w:tcW w:w="1945" w:type="dxa"/>
          </w:tcPr>
          <w:p w14:paraId="27A4969B" w14:textId="77777777" w:rsidR="00B34BE4" w:rsidRPr="00AB56BB" w:rsidRDefault="00B34BE4" w:rsidP="00B34BE4">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B34BE4" w:rsidRPr="00AB56BB" w:rsidRDefault="00B34BE4" w:rsidP="00B34BE4">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B34BE4" w:rsidRPr="00AB56BB" w:rsidRDefault="00B34BE4" w:rsidP="00B34BE4">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B34BE4" w:rsidRPr="00AB56BB" w14:paraId="0B661C66" w14:textId="77777777" w:rsidTr="2539CAE0">
        <w:tc>
          <w:tcPr>
            <w:tcW w:w="1945" w:type="dxa"/>
          </w:tcPr>
          <w:p w14:paraId="5CADA07A" w14:textId="77777777" w:rsidR="00B34BE4" w:rsidRPr="00AB56BB" w:rsidRDefault="00B34BE4" w:rsidP="00B34BE4">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B34BE4" w:rsidRPr="00AB56BB" w:rsidRDefault="00B34BE4" w:rsidP="00B34BE4">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B34BE4" w:rsidRPr="00AB56BB" w:rsidRDefault="00B34BE4" w:rsidP="00B34BE4">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B34BE4" w:rsidRPr="00AB56BB" w14:paraId="5A2D61CB" w14:textId="77777777" w:rsidTr="2539CAE0">
        <w:tc>
          <w:tcPr>
            <w:tcW w:w="1945" w:type="dxa"/>
          </w:tcPr>
          <w:p w14:paraId="675C26E1" w14:textId="77777777" w:rsidR="00B34BE4" w:rsidRPr="00AB56BB" w:rsidRDefault="00B34BE4" w:rsidP="00B34BE4">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B34BE4" w:rsidRPr="00AB56BB" w:rsidRDefault="00B34BE4" w:rsidP="00B34BE4">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B34BE4" w:rsidRPr="00AB56BB" w:rsidRDefault="00B34BE4" w:rsidP="00B34BE4">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B34BE4" w:rsidRPr="00AB56BB" w14:paraId="6FAE87BA" w14:textId="77777777" w:rsidTr="2539CAE0">
        <w:tc>
          <w:tcPr>
            <w:tcW w:w="1945" w:type="dxa"/>
            <w:vMerge w:val="restart"/>
            <w:shd w:val="clear" w:color="auto" w:fill="3B7E32"/>
            <w:vAlign w:val="center"/>
          </w:tcPr>
          <w:p w14:paraId="171D5AB7" w14:textId="77777777" w:rsidR="00B34BE4" w:rsidRPr="00AB56BB" w:rsidRDefault="00B34BE4" w:rsidP="00B34BE4">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B34BE4" w:rsidRPr="00AB56BB" w:rsidRDefault="00B34BE4" w:rsidP="00B34BE4">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B34BE4" w:rsidRPr="00AB56BB" w:rsidRDefault="00B34BE4" w:rsidP="00B34BE4">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B34BE4" w:rsidRPr="00AB56BB" w:rsidRDefault="00B34BE4" w:rsidP="00B34BE4">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B34BE4" w:rsidRPr="00AB56BB" w14:paraId="15DFADA7" w14:textId="77777777" w:rsidTr="2539CAE0">
        <w:tc>
          <w:tcPr>
            <w:tcW w:w="1945" w:type="dxa"/>
            <w:vMerge/>
          </w:tcPr>
          <w:p w14:paraId="1599EE4C" w14:textId="77777777" w:rsidR="00B34BE4" w:rsidRPr="00AB56BB" w:rsidRDefault="00B34BE4" w:rsidP="00B34BE4">
            <w:pPr>
              <w:keepLines/>
              <w:widowControl/>
              <w:rPr>
                <w:sz w:val="18"/>
                <w:szCs w:val="20"/>
              </w:rPr>
            </w:pPr>
          </w:p>
        </w:tc>
        <w:tc>
          <w:tcPr>
            <w:tcW w:w="2217" w:type="dxa"/>
            <w:vMerge/>
          </w:tcPr>
          <w:p w14:paraId="4D5799AC" w14:textId="77777777" w:rsidR="00B34BE4" w:rsidRPr="00AB56BB" w:rsidRDefault="00B34BE4" w:rsidP="00B34BE4">
            <w:pPr>
              <w:keepLines/>
              <w:widowControl/>
              <w:rPr>
                <w:sz w:val="18"/>
                <w:szCs w:val="20"/>
              </w:rPr>
            </w:pPr>
          </w:p>
        </w:tc>
        <w:tc>
          <w:tcPr>
            <w:tcW w:w="971" w:type="dxa"/>
            <w:gridSpan w:val="2"/>
            <w:shd w:val="clear" w:color="auto" w:fill="3B7E32"/>
          </w:tcPr>
          <w:p w14:paraId="34AF40F0" w14:textId="77777777" w:rsidR="00B34BE4" w:rsidRPr="00AB56BB" w:rsidRDefault="00B34BE4" w:rsidP="00B34BE4">
            <w:pPr>
              <w:pStyle w:val="TableParagraph"/>
              <w:keepLines/>
              <w:widowControl/>
              <w:spacing w:line="266" w:lineRule="auto"/>
              <w:ind w:left="208" w:right="199" w:hanging="5"/>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B34BE4" w:rsidRPr="00AB56BB" w:rsidRDefault="00B34BE4" w:rsidP="00B34BE4">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B34BE4" w:rsidRPr="00AB56BB" w:rsidRDefault="00B34BE4" w:rsidP="00B34BE4">
            <w:pPr>
              <w:keepLines/>
              <w:widowControl/>
              <w:rPr>
                <w:sz w:val="18"/>
                <w:szCs w:val="20"/>
              </w:rPr>
            </w:pPr>
          </w:p>
        </w:tc>
      </w:tr>
      <w:tr w:rsidR="00B34BE4" w:rsidRPr="00AB56BB" w14:paraId="693A73E4" w14:textId="77777777" w:rsidTr="2539CAE0">
        <w:tc>
          <w:tcPr>
            <w:tcW w:w="1945" w:type="dxa"/>
            <w:vMerge w:val="restart"/>
            <w:vAlign w:val="center"/>
          </w:tcPr>
          <w:p w14:paraId="4115A2A7" w14:textId="1E46E7E7" w:rsidR="00B34BE4" w:rsidRPr="00AB56BB" w:rsidRDefault="00B34BE4" w:rsidP="00B34BE4">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B34BE4" w:rsidRPr="00AB56BB" w:rsidRDefault="00B34BE4" w:rsidP="00B34BE4">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4F853C20" w:rsidR="00B34BE4" w:rsidRPr="00AB56BB" w:rsidRDefault="00B34BE4" w:rsidP="00397A72">
            <w:pPr>
              <w:pStyle w:val="TableParagraph"/>
              <w:keepLines/>
              <w:widowControl/>
              <w:numPr>
                <w:ilvl w:val="0"/>
                <w:numId w:val="4"/>
              </w:numPr>
              <w:rPr>
                <w:rFonts w:ascii="Times New Roman"/>
                <w:sz w:val="18"/>
                <w:szCs w:val="20"/>
              </w:rPr>
            </w:pPr>
          </w:p>
        </w:tc>
        <w:tc>
          <w:tcPr>
            <w:tcW w:w="3296" w:type="dxa"/>
          </w:tcPr>
          <w:p w14:paraId="24C1DD4C" w14:textId="62A482C5" w:rsidR="00B34BE4" w:rsidRPr="00AB56BB" w:rsidRDefault="00397A72" w:rsidP="00B34BE4">
            <w:pPr>
              <w:pStyle w:val="TableParagraph"/>
              <w:keepLines/>
              <w:widowControl/>
              <w:rPr>
                <w:rFonts w:ascii="Times New Roman"/>
                <w:sz w:val="18"/>
                <w:szCs w:val="20"/>
              </w:rPr>
            </w:pPr>
            <w:r>
              <w:rPr>
                <w:rFonts w:ascii="Times New Roman"/>
                <w:sz w:val="18"/>
                <w:szCs w:val="20"/>
              </w:rPr>
              <w:t xml:space="preserve">Rate reviews appear to allow whatever was approved in the Integrated Resource Plan (IRP).  No attempt </w:t>
            </w:r>
            <w:r>
              <w:rPr>
                <w:rFonts w:ascii="Times New Roman"/>
                <w:sz w:val="18"/>
                <w:szCs w:val="20"/>
              </w:rPr>
              <w:t>–</w:t>
            </w:r>
            <w:r>
              <w:rPr>
                <w:rFonts w:ascii="Times New Roman"/>
                <w:sz w:val="18"/>
                <w:szCs w:val="20"/>
              </w:rPr>
              <w:t xml:space="preserve"> that I am aware of is made to incentivize or penalize.  Because the IRP is allowed to avoid full compliance with VCEA, the </w:t>
            </w:r>
            <w:r w:rsidR="004C1249">
              <w:rPr>
                <w:rFonts w:ascii="Times New Roman"/>
                <w:sz w:val="18"/>
                <w:szCs w:val="20"/>
              </w:rPr>
              <w:t>r</w:t>
            </w:r>
            <w:r>
              <w:rPr>
                <w:rFonts w:ascii="Times New Roman"/>
                <w:sz w:val="18"/>
                <w:szCs w:val="20"/>
              </w:rPr>
              <w:t xml:space="preserve">ate review misses the opportunity </w:t>
            </w:r>
            <w:r>
              <w:rPr>
                <w:rFonts w:ascii="Times New Roman"/>
                <w:sz w:val="18"/>
                <w:szCs w:val="20"/>
              </w:rPr>
              <w:t>–</w:t>
            </w:r>
            <w:r>
              <w:rPr>
                <w:rFonts w:ascii="Times New Roman"/>
                <w:sz w:val="18"/>
                <w:szCs w:val="20"/>
              </w:rPr>
              <w:t xml:space="preserve"> in my opinion</w:t>
            </w:r>
          </w:p>
        </w:tc>
        <w:tc>
          <w:tcPr>
            <w:tcW w:w="4534" w:type="dxa"/>
          </w:tcPr>
          <w:p w14:paraId="3C53784A" w14:textId="7A57F1D8" w:rsidR="00B34BE4" w:rsidRPr="00AB56BB" w:rsidRDefault="00397A72" w:rsidP="00B34BE4">
            <w:pPr>
              <w:pStyle w:val="TableParagraph"/>
              <w:keepLines/>
              <w:widowControl/>
              <w:rPr>
                <w:rFonts w:ascii="Times New Roman"/>
                <w:sz w:val="18"/>
                <w:szCs w:val="20"/>
              </w:rPr>
            </w:pPr>
            <w:r>
              <w:rPr>
                <w:rFonts w:ascii="Times New Roman"/>
                <w:sz w:val="18"/>
                <w:szCs w:val="20"/>
              </w:rPr>
              <w:t xml:space="preserve">Rate incentives (or penalties) could be used at the rate review to address the level of fullness in compliance with the VCEA that the utility proposes for future. </w:t>
            </w:r>
          </w:p>
        </w:tc>
      </w:tr>
      <w:tr w:rsidR="00397A72" w:rsidRPr="00AB56BB" w14:paraId="6CCC7BB6" w14:textId="77777777" w:rsidTr="705AF046">
        <w:trPr>
          <w:trHeight w:val="1398"/>
        </w:trPr>
        <w:tc>
          <w:tcPr>
            <w:tcW w:w="1945" w:type="dxa"/>
            <w:vMerge/>
          </w:tcPr>
          <w:p w14:paraId="1D6A26E7" w14:textId="77777777" w:rsidR="00397A72" w:rsidRPr="00AB56BB" w:rsidRDefault="00397A72" w:rsidP="00397A72">
            <w:pPr>
              <w:pStyle w:val="TableParagraph"/>
              <w:keepLines/>
              <w:widowControl/>
              <w:spacing w:line="266" w:lineRule="auto"/>
              <w:ind w:left="60"/>
              <w:rPr>
                <w:b/>
                <w:sz w:val="18"/>
                <w:szCs w:val="20"/>
              </w:rPr>
            </w:pPr>
          </w:p>
        </w:tc>
        <w:tc>
          <w:tcPr>
            <w:tcW w:w="2217" w:type="dxa"/>
          </w:tcPr>
          <w:p w14:paraId="0C633161" w14:textId="50065DFC" w:rsidR="00397A72" w:rsidRPr="00170B8D" w:rsidRDefault="00397A72" w:rsidP="00397A72">
            <w:pPr>
              <w:pStyle w:val="TableParagraph"/>
              <w:keepLines/>
              <w:widowControl/>
              <w:spacing w:before="98" w:line="232" w:lineRule="auto"/>
              <w:ind w:left="104" w:right="149"/>
              <w:rPr>
                <w:sz w:val="18"/>
                <w:szCs w:val="20"/>
              </w:rPr>
            </w:pPr>
            <w:r>
              <w:rPr>
                <w:sz w:val="18"/>
                <w:szCs w:val="20"/>
              </w:rPr>
              <w:t>Backward-looking</w:t>
            </w:r>
            <w:r w:rsidRPr="00170B8D">
              <w:rPr>
                <w:sz w:val="18"/>
                <w:szCs w:val="20"/>
              </w:rPr>
              <w:t xml:space="preserve"> (w/ earnings adjustments) </w:t>
            </w:r>
          </w:p>
        </w:tc>
        <w:tc>
          <w:tcPr>
            <w:tcW w:w="971" w:type="dxa"/>
            <w:gridSpan w:val="2"/>
          </w:tcPr>
          <w:p w14:paraId="546A1853" w14:textId="03228386" w:rsidR="00397A72" w:rsidRPr="00AB56BB" w:rsidRDefault="00397A72" w:rsidP="00397A72">
            <w:pPr>
              <w:pStyle w:val="TableParagraph"/>
              <w:keepLines/>
              <w:widowControl/>
              <w:numPr>
                <w:ilvl w:val="0"/>
                <w:numId w:val="3"/>
              </w:numPr>
              <w:rPr>
                <w:rFonts w:ascii="Times New Roman"/>
                <w:sz w:val="18"/>
                <w:szCs w:val="20"/>
              </w:rPr>
            </w:pPr>
          </w:p>
        </w:tc>
        <w:tc>
          <w:tcPr>
            <w:tcW w:w="3296" w:type="dxa"/>
          </w:tcPr>
          <w:p w14:paraId="053409F0" w14:textId="0D63143D" w:rsidR="00397A72" w:rsidRPr="00AB56BB" w:rsidRDefault="00397A72" w:rsidP="00397A72">
            <w:pPr>
              <w:pStyle w:val="TableParagraph"/>
              <w:keepLines/>
              <w:widowControl/>
              <w:rPr>
                <w:rFonts w:ascii="Times New Roman"/>
                <w:sz w:val="18"/>
                <w:szCs w:val="18"/>
              </w:rPr>
            </w:pPr>
            <w:r>
              <w:rPr>
                <w:rFonts w:ascii="Times New Roman"/>
                <w:sz w:val="18"/>
                <w:szCs w:val="18"/>
              </w:rPr>
              <w:t>Same as above.  The process appears to miss the opportunity.</w:t>
            </w:r>
          </w:p>
        </w:tc>
        <w:tc>
          <w:tcPr>
            <w:tcW w:w="4534" w:type="dxa"/>
          </w:tcPr>
          <w:p w14:paraId="386DF13D" w14:textId="1467412F" w:rsidR="00397A72" w:rsidRPr="00AB56BB" w:rsidRDefault="00397A72" w:rsidP="00397A72">
            <w:pPr>
              <w:pStyle w:val="TableParagraph"/>
              <w:keepLines/>
              <w:widowControl/>
              <w:rPr>
                <w:rFonts w:ascii="Times New Roman"/>
                <w:sz w:val="18"/>
                <w:szCs w:val="20"/>
              </w:rPr>
            </w:pPr>
            <w:r>
              <w:rPr>
                <w:rFonts w:ascii="Times New Roman"/>
                <w:sz w:val="18"/>
                <w:szCs w:val="20"/>
              </w:rPr>
              <w:t xml:space="preserve">Rate incentives (or penalties) could be used at the rate review to address the level of fullness in compliance with the VCEA that the utility </w:t>
            </w:r>
            <w:r>
              <w:rPr>
                <w:rFonts w:ascii="Times New Roman"/>
                <w:sz w:val="18"/>
                <w:szCs w:val="20"/>
              </w:rPr>
              <w:t>achieved in the last period</w:t>
            </w:r>
            <w:r>
              <w:rPr>
                <w:rFonts w:ascii="Times New Roman"/>
                <w:sz w:val="18"/>
                <w:szCs w:val="20"/>
              </w:rPr>
              <w:t xml:space="preserve">. </w:t>
            </w:r>
          </w:p>
        </w:tc>
      </w:tr>
      <w:tr w:rsidR="00397A72" w:rsidRPr="00AB56BB" w14:paraId="694F2E9D" w14:textId="77777777" w:rsidTr="2539CAE0">
        <w:trPr>
          <w:trHeight w:val="302"/>
        </w:trPr>
        <w:tc>
          <w:tcPr>
            <w:tcW w:w="1945" w:type="dxa"/>
            <w:vAlign w:val="center"/>
          </w:tcPr>
          <w:p w14:paraId="74C1A3B5" w14:textId="41EC9DD7" w:rsidR="00397A72" w:rsidRPr="00AB56BB" w:rsidRDefault="00397A72" w:rsidP="00397A72">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397A72" w:rsidRPr="00AB56BB" w:rsidRDefault="00397A72" w:rsidP="00397A72">
            <w:pPr>
              <w:pStyle w:val="TableParagraph"/>
              <w:keepLines/>
              <w:widowControl/>
              <w:spacing w:before="98" w:line="232" w:lineRule="auto"/>
              <w:ind w:left="104" w:right="149"/>
              <w:rPr>
                <w:sz w:val="18"/>
                <w:szCs w:val="20"/>
              </w:rPr>
            </w:pPr>
          </w:p>
        </w:tc>
        <w:tc>
          <w:tcPr>
            <w:tcW w:w="971" w:type="dxa"/>
            <w:gridSpan w:val="2"/>
          </w:tcPr>
          <w:p w14:paraId="2B0F6EB7" w14:textId="77777777" w:rsidR="00397A72" w:rsidRPr="00AB56BB" w:rsidRDefault="00397A72" w:rsidP="00397A72">
            <w:pPr>
              <w:pStyle w:val="TableParagraph"/>
              <w:keepLines/>
              <w:widowControl/>
              <w:rPr>
                <w:rFonts w:ascii="Times New Roman"/>
                <w:sz w:val="18"/>
                <w:szCs w:val="20"/>
              </w:rPr>
            </w:pPr>
          </w:p>
        </w:tc>
        <w:tc>
          <w:tcPr>
            <w:tcW w:w="3296" w:type="dxa"/>
          </w:tcPr>
          <w:p w14:paraId="0A1738A7" w14:textId="77777777" w:rsidR="00397A72" w:rsidRPr="00AB56BB" w:rsidRDefault="00397A72" w:rsidP="00397A72">
            <w:pPr>
              <w:pStyle w:val="TableParagraph"/>
              <w:keepLines/>
              <w:widowControl/>
              <w:rPr>
                <w:rFonts w:ascii="Times New Roman"/>
                <w:sz w:val="18"/>
                <w:szCs w:val="20"/>
              </w:rPr>
            </w:pPr>
          </w:p>
        </w:tc>
        <w:tc>
          <w:tcPr>
            <w:tcW w:w="4534" w:type="dxa"/>
          </w:tcPr>
          <w:p w14:paraId="37E50DCC" w14:textId="77777777" w:rsidR="00397A72" w:rsidRPr="00AB56BB" w:rsidRDefault="00397A72" w:rsidP="00397A72">
            <w:pPr>
              <w:pStyle w:val="TableParagraph"/>
              <w:keepLines/>
              <w:widowControl/>
              <w:rPr>
                <w:rFonts w:ascii="Times New Roman"/>
                <w:sz w:val="18"/>
                <w:szCs w:val="20"/>
              </w:rPr>
            </w:pPr>
          </w:p>
        </w:tc>
      </w:tr>
      <w:tr w:rsidR="00397A72" w:rsidRPr="00AB56BB" w14:paraId="6BCED2E3" w14:textId="77777777" w:rsidTr="2539CAE0">
        <w:tc>
          <w:tcPr>
            <w:tcW w:w="1945" w:type="dxa"/>
            <w:vMerge w:val="restart"/>
            <w:vAlign w:val="center"/>
          </w:tcPr>
          <w:p w14:paraId="59A8BB57" w14:textId="17ACB13E" w:rsidR="00397A72" w:rsidRDefault="00397A72" w:rsidP="00397A72">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397A72" w:rsidRDefault="00397A72" w:rsidP="00397A72">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3DB88C75" w:rsidR="00397A72" w:rsidRPr="00AB56BB" w:rsidRDefault="00397A72" w:rsidP="00CE04E6">
            <w:pPr>
              <w:pStyle w:val="TableParagraph"/>
              <w:keepLines/>
              <w:widowControl/>
              <w:numPr>
                <w:ilvl w:val="0"/>
                <w:numId w:val="3"/>
              </w:numPr>
              <w:rPr>
                <w:rFonts w:ascii="Times New Roman"/>
                <w:sz w:val="18"/>
                <w:szCs w:val="20"/>
              </w:rPr>
            </w:pPr>
          </w:p>
        </w:tc>
        <w:tc>
          <w:tcPr>
            <w:tcW w:w="3296" w:type="dxa"/>
          </w:tcPr>
          <w:p w14:paraId="24774D2A" w14:textId="12A2721D" w:rsidR="00397A72" w:rsidRPr="073D5F75" w:rsidRDefault="00CE04E6" w:rsidP="00397A72">
            <w:pPr>
              <w:pStyle w:val="TableParagraph"/>
              <w:keepLines/>
              <w:widowControl/>
              <w:rPr>
                <w:rFonts w:ascii="Times New Roman"/>
                <w:sz w:val="18"/>
                <w:szCs w:val="18"/>
              </w:rPr>
            </w:pPr>
            <w:r>
              <w:rPr>
                <w:rFonts w:ascii="Times New Roman"/>
                <w:sz w:val="18"/>
                <w:szCs w:val="18"/>
              </w:rPr>
              <w:t xml:space="preserve">RACs address specific capitalized items.  In general, all of these items should be placed into the base rate.  There is no improvement for customers in utilizing RACs.  However, since RACs are used, and they do exist, it is worth noting that there is also no incentivization for full VCEA compliance, or there would be a RAC, or series of RACs that would be proposed to meet the VCEA.  </w:t>
            </w:r>
            <w:r w:rsidR="00055B1A">
              <w:rPr>
                <w:rFonts w:ascii="Times New Roman"/>
                <w:sz w:val="18"/>
                <w:szCs w:val="18"/>
              </w:rPr>
              <w:t>Currently</w:t>
            </w:r>
            <w:r>
              <w:rPr>
                <w:rFonts w:ascii="Times New Roman"/>
                <w:sz w:val="18"/>
                <w:szCs w:val="18"/>
              </w:rPr>
              <w:t xml:space="preserve"> there are several RACs that address renewable and clean energy, but they are insufficient in volume to address all VCEA needs.  When one includes the estimated and expected demand growth (5% increase per year, for the next 10 years- or more) the RACs that exist become so small as to almost make no impact at all. </w:t>
            </w:r>
          </w:p>
        </w:tc>
        <w:tc>
          <w:tcPr>
            <w:tcW w:w="4534" w:type="dxa"/>
          </w:tcPr>
          <w:p w14:paraId="0FD7FB42" w14:textId="2574C7FB" w:rsidR="00397A72" w:rsidRDefault="00CE04E6" w:rsidP="00397A72">
            <w:pPr>
              <w:pStyle w:val="TableParagraph"/>
              <w:keepLines/>
              <w:widowControl/>
              <w:rPr>
                <w:rFonts w:ascii="Times New Roman"/>
                <w:sz w:val="18"/>
                <w:szCs w:val="20"/>
              </w:rPr>
            </w:pPr>
            <w:r>
              <w:rPr>
                <w:rFonts w:ascii="Times New Roman"/>
                <w:sz w:val="18"/>
                <w:szCs w:val="20"/>
              </w:rPr>
              <w:t xml:space="preserve">The Commonwealth has to decide if the VCEA and if clean and renewable energy really matters.  The commonwealth will need to decide if ratepayers will cover the cost, or if they will be subsidized in some way by government.  It is clear that investors in utilities and the utilities themselves cannot bear the costs under the existing structure </w:t>
            </w:r>
            <w:r>
              <w:rPr>
                <w:rFonts w:ascii="Times New Roman"/>
                <w:sz w:val="18"/>
                <w:szCs w:val="20"/>
              </w:rPr>
              <w:t>–</w:t>
            </w:r>
            <w:r>
              <w:rPr>
                <w:rFonts w:ascii="Times New Roman"/>
                <w:sz w:val="18"/>
                <w:szCs w:val="20"/>
              </w:rPr>
              <w:t xml:space="preserve"> or there would be at least one IRP option that attempts to seriously address the full measure of the VCEA.  Unfortunately, affordability and cost to the consumer will </w:t>
            </w:r>
            <w:r w:rsidR="005E6E95">
              <w:rPr>
                <w:rFonts w:ascii="Times New Roman"/>
                <w:sz w:val="18"/>
                <w:szCs w:val="20"/>
              </w:rPr>
              <w:t>skyrocket without subsidization.  Frankly, even subsidization would lead to significant tax increases.  I am not sure there is a way to address the VCEA as well as focus on cost and affordability.  That being said, we need to consider trying harder.</w:t>
            </w:r>
            <w:r w:rsidR="00055B1A">
              <w:rPr>
                <w:rFonts w:ascii="Times New Roman"/>
                <w:sz w:val="18"/>
                <w:szCs w:val="20"/>
              </w:rPr>
              <w:t xml:space="preserve"> Since there is no special RAC program approved to address full implementation of VCEA, there is a disincentivization (based on simple economics) for the utility to address VCEA needs through RACs.</w:t>
            </w:r>
          </w:p>
        </w:tc>
      </w:tr>
      <w:tr w:rsidR="00397A72" w:rsidRPr="00AB56BB" w14:paraId="08118783" w14:textId="77777777" w:rsidTr="2539CAE0">
        <w:tc>
          <w:tcPr>
            <w:tcW w:w="1945" w:type="dxa"/>
            <w:vMerge/>
            <w:vAlign w:val="center"/>
          </w:tcPr>
          <w:p w14:paraId="6DD780F7"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7F7B84E7" w14:textId="21DC8B1E" w:rsidR="00397A72" w:rsidRDefault="00397A72" w:rsidP="00397A72">
            <w:pPr>
              <w:pStyle w:val="TableParagraph"/>
              <w:keepLines/>
              <w:widowControl/>
              <w:spacing w:line="207" w:lineRule="exact"/>
              <w:ind w:left="104"/>
              <w:rPr>
                <w:sz w:val="18"/>
                <w:szCs w:val="20"/>
              </w:rPr>
            </w:pPr>
            <w:r>
              <w:rPr>
                <w:sz w:val="18"/>
                <w:szCs w:val="20"/>
              </w:rPr>
              <w:t>Fuel Cost Recovery</w:t>
            </w:r>
          </w:p>
        </w:tc>
        <w:tc>
          <w:tcPr>
            <w:tcW w:w="971" w:type="dxa"/>
            <w:gridSpan w:val="2"/>
          </w:tcPr>
          <w:p w14:paraId="40A697D1" w14:textId="0EA2F415" w:rsidR="00397A72" w:rsidRPr="00AB56BB" w:rsidRDefault="00A41F54" w:rsidP="00397A72">
            <w:pPr>
              <w:pStyle w:val="TableParagraph"/>
              <w:keepLines/>
              <w:widowControl/>
              <w:rPr>
                <w:rFonts w:ascii="Times New Roman"/>
                <w:sz w:val="18"/>
                <w:szCs w:val="20"/>
              </w:rPr>
            </w:pPr>
            <w:r>
              <w:rPr>
                <w:rFonts w:ascii="Times New Roman"/>
                <w:sz w:val="18"/>
                <w:szCs w:val="20"/>
              </w:rPr>
              <w:t xml:space="preserve">      </w:t>
            </w:r>
            <w:r w:rsidR="002F44AD">
              <w:rPr>
                <w:rFonts w:ascii="Times New Roman"/>
                <w:sz w:val="18"/>
                <w:szCs w:val="20"/>
              </w:rPr>
              <w:t xml:space="preserve"> </w:t>
            </w:r>
            <w:r>
              <w:rPr>
                <w:rFonts w:ascii="Times New Roman"/>
                <w:sz w:val="18"/>
                <w:szCs w:val="20"/>
              </w:rPr>
              <w:t xml:space="preserve"> </w:t>
            </w:r>
            <w:r w:rsidR="002F44AD">
              <w:rPr>
                <w:rFonts w:ascii="Times New Roman"/>
                <w:sz w:val="18"/>
                <w:szCs w:val="20"/>
              </w:rPr>
              <w:t>-</w:t>
            </w:r>
            <w:r>
              <w:rPr>
                <w:rFonts w:ascii="Times New Roman"/>
                <w:sz w:val="18"/>
                <w:szCs w:val="20"/>
              </w:rPr>
              <w:t xml:space="preserve"> </w:t>
            </w:r>
          </w:p>
        </w:tc>
        <w:tc>
          <w:tcPr>
            <w:tcW w:w="3296" w:type="dxa"/>
          </w:tcPr>
          <w:p w14:paraId="521AF72E" w14:textId="14B9F237" w:rsidR="00397A72" w:rsidRPr="073D5F75" w:rsidRDefault="002F44AD" w:rsidP="00397A72">
            <w:pPr>
              <w:pStyle w:val="TableParagraph"/>
              <w:keepLines/>
              <w:widowControl/>
              <w:rPr>
                <w:rFonts w:ascii="Times New Roman"/>
                <w:sz w:val="18"/>
                <w:szCs w:val="18"/>
              </w:rPr>
            </w:pPr>
            <w:r>
              <w:rPr>
                <w:rFonts w:ascii="Times New Roman"/>
                <w:sz w:val="18"/>
                <w:szCs w:val="18"/>
              </w:rPr>
              <w:t xml:space="preserve">The only fuel that can be considered to meet the needs of full compliance with VCEA requirements is nuclear fuel.  Having a full </w:t>
            </w:r>
            <w:r w:rsidR="007C4793">
              <w:rPr>
                <w:rFonts w:ascii="Times New Roman"/>
                <w:sz w:val="18"/>
                <w:szCs w:val="18"/>
              </w:rPr>
              <w:t>pass-through</w:t>
            </w:r>
            <w:r>
              <w:rPr>
                <w:rFonts w:ascii="Times New Roman"/>
                <w:sz w:val="18"/>
                <w:szCs w:val="18"/>
              </w:rPr>
              <w:t xml:space="preserve"> cost recovery for fossil fuels, in fact even allowing a utility to securitized debt and pass financing costs on to customers will support the financial stability of the utility, but not incentivize, nor penalize for VCEA compliance.  Ultimately, retirement of fossil fuel generation is required.  Full fuel cost (including financing costs) creates a disincentive for utilities.  They will be made whole for non-compliance.  </w:t>
            </w:r>
          </w:p>
        </w:tc>
        <w:tc>
          <w:tcPr>
            <w:tcW w:w="4534" w:type="dxa"/>
          </w:tcPr>
          <w:p w14:paraId="6F8979C6" w14:textId="2D8F6E72" w:rsidR="00397A72" w:rsidRDefault="00496C9F" w:rsidP="00397A72">
            <w:pPr>
              <w:pStyle w:val="TableParagraph"/>
              <w:keepLines/>
              <w:widowControl/>
              <w:rPr>
                <w:rFonts w:ascii="Times New Roman"/>
                <w:sz w:val="18"/>
                <w:szCs w:val="20"/>
              </w:rPr>
            </w:pPr>
            <w:r>
              <w:rPr>
                <w:rFonts w:ascii="Times New Roman"/>
                <w:sz w:val="18"/>
                <w:szCs w:val="20"/>
              </w:rPr>
              <w:t xml:space="preserve">The continued burning of fossil fuels is fairly well known and understood to be one of the root causes of climate change and global warming.  This is not a disputed policy item in Virginia.  The VCEA established the need to reduce and ultimately eliminate the burning of fossil fuels as a legislative priority.  The VCEA did recognize reliability as a higher public benefit.  However, it is not helpful if humanity can reliably be expected to continue to cause the diminishment of our own environment.  Yes, reliability matters.  Yes, affordability matters.  However, the opportunity to consider fuel costs, fuel use and the continued impact of fossil fuels is missed as far as performance-based rate making goes.  If fuel use is </w:t>
            </w:r>
            <w:r w:rsidR="00266D23">
              <w:rPr>
                <w:rFonts w:ascii="Times New Roman"/>
                <w:sz w:val="18"/>
                <w:szCs w:val="20"/>
              </w:rPr>
              <w:t>reducing</w:t>
            </w:r>
            <w:r>
              <w:rPr>
                <w:rFonts w:ascii="Times New Roman"/>
                <w:sz w:val="18"/>
                <w:szCs w:val="20"/>
              </w:rPr>
              <w:t xml:space="preserve"> at the gross level, or if fuel used is reduced per unit generated, why not provide an incentive for that? </w:t>
            </w:r>
            <w:r w:rsidR="00801B2C">
              <w:rPr>
                <w:rFonts w:ascii="Times New Roman"/>
                <w:sz w:val="18"/>
                <w:szCs w:val="20"/>
              </w:rPr>
              <w:t xml:space="preserve">The answer, of course, is that the amount is already too much.  This is how over a billion dollars was accrued as debt owed to the utility, and how this amount ended up being sold to a third-party securitization company.  Rate payers can only amortize expenses so far, there will ultimately be a </w:t>
            </w:r>
            <w:r w:rsidR="00CC197E">
              <w:rPr>
                <w:rFonts w:ascii="Times New Roman"/>
                <w:sz w:val="18"/>
                <w:szCs w:val="20"/>
              </w:rPr>
              <w:t>reckoning</w:t>
            </w:r>
            <w:r w:rsidR="00801B2C">
              <w:rPr>
                <w:rFonts w:ascii="Times New Roman"/>
                <w:sz w:val="18"/>
                <w:szCs w:val="20"/>
              </w:rPr>
              <w:t>.  Virginia will need to consider how it will address this, because what we are doing now isn</w:t>
            </w:r>
            <w:r w:rsidR="00801B2C">
              <w:rPr>
                <w:rFonts w:ascii="Times New Roman"/>
                <w:sz w:val="18"/>
                <w:szCs w:val="20"/>
              </w:rPr>
              <w:t>’</w:t>
            </w:r>
            <w:r w:rsidR="00801B2C">
              <w:rPr>
                <w:rFonts w:ascii="Times New Roman"/>
                <w:sz w:val="18"/>
                <w:szCs w:val="20"/>
              </w:rPr>
              <w:t xml:space="preserve">t working. </w:t>
            </w:r>
          </w:p>
        </w:tc>
      </w:tr>
      <w:tr w:rsidR="00397A72" w:rsidRPr="00AB56BB" w14:paraId="0128EF7A" w14:textId="77777777" w:rsidTr="2539CAE0">
        <w:tc>
          <w:tcPr>
            <w:tcW w:w="1945" w:type="dxa"/>
            <w:vMerge/>
            <w:vAlign w:val="center"/>
          </w:tcPr>
          <w:p w14:paraId="027CD6D6" w14:textId="74AD2FDF" w:rsidR="00397A72" w:rsidRPr="00AB56BB" w:rsidRDefault="00397A72" w:rsidP="00397A72">
            <w:pPr>
              <w:pStyle w:val="TableParagraph"/>
              <w:keepLines/>
              <w:widowControl/>
              <w:spacing w:line="268" w:lineRule="auto"/>
              <w:ind w:left="60"/>
              <w:rPr>
                <w:b/>
                <w:sz w:val="18"/>
                <w:szCs w:val="20"/>
              </w:rPr>
            </w:pPr>
          </w:p>
        </w:tc>
        <w:tc>
          <w:tcPr>
            <w:tcW w:w="2217" w:type="dxa"/>
          </w:tcPr>
          <w:p w14:paraId="66BE56D8" w14:textId="0F7B5E51" w:rsidR="00397A72" w:rsidRPr="00AB56BB" w:rsidRDefault="00397A72" w:rsidP="00397A72">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77777777" w:rsidR="00397A72" w:rsidRPr="00AB56BB" w:rsidRDefault="00397A72" w:rsidP="00397A72">
            <w:pPr>
              <w:pStyle w:val="TableParagraph"/>
              <w:keepLines/>
              <w:widowControl/>
              <w:rPr>
                <w:rFonts w:ascii="Times New Roman"/>
                <w:sz w:val="18"/>
                <w:szCs w:val="20"/>
              </w:rPr>
            </w:pPr>
          </w:p>
        </w:tc>
        <w:tc>
          <w:tcPr>
            <w:tcW w:w="3296" w:type="dxa"/>
          </w:tcPr>
          <w:p w14:paraId="1017D892" w14:textId="4A25AACC" w:rsidR="00397A72" w:rsidRPr="00AB56BB" w:rsidRDefault="00397A72" w:rsidP="00397A72">
            <w:pPr>
              <w:pStyle w:val="TableParagraph"/>
              <w:keepLines/>
              <w:widowControl/>
              <w:rPr>
                <w:rFonts w:ascii="Times New Roman"/>
                <w:sz w:val="18"/>
                <w:szCs w:val="18"/>
              </w:rPr>
            </w:pPr>
          </w:p>
        </w:tc>
        <w:tc>
          <w:tcPr>
            <w:tcW w:w="4534" w:type="dxa"/>
          </w:tcPr>
          <w:p w14:paraId="7DDC229D" w14:textId="2CB9CA56" w:rsidR="00397A72" w:rsidRPr="00AB56BB" w:rsidRDefault="00397A72" w:rsidP="00397A72">
            <w:pPr>
              <w:pStyle w:val="TableParagraph"/>
              <w:keepLines/>
              <w:widowControl/>
              <w:rPr>
                <w:rFonts w:ascii="Times New Roman"/>
                <w:sz w:val="18"/>
                <w:szCs w:val="20"/>
              </w:rPr>
            </w:pPr>
          </w:p>
        </w:tc>
      </w:tr>
      <w:tr w:rsidR="00397A72" w:rsidRPr="00AB56BB" w14:paraId="2ABB39F3" w14:textId="77777777" w:rsidTr="2539CAE0">
        <w:tc>
          <w:tcPr>
            <w:tcW w:w="1945" w:type="dxa"/>
            <w:vMerge/>
          </w:tcPr>
          <w:p w14:paraId="584D7B53"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2F8108CE" w14:textId="4D4A0B41" w:rsidR="00397A72" w:rsidRDefault="00397A72" w:rsidP="00397A72">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77777777" w:rsidR="00397A72" w:rsidRPr="00AB56BB" w:rsidRDefault="00397A72" w:rsidP="00397A72">
            <w:pPr>
              <w:pStyle w:val="TableParagraph"/>
              <w:keepLines/>
              <w:widowControl/>
              <w:rPr>
                <w:rFonts w:ascii="Times New Roman"/>
                <w:sz w:val="18"/>
                <w:szCs w:val="20"/>
              </w:rPr>
            </w:pPr>
          </w:p>
        </w:tc>
        <w:tc>
          <w:tcPr>
            <w:tcW w:w="3296" w:type="dxa"/>
          </w:tcPr>
          <w:p w14:paraId="7B2EA571" w14:textId="77777777" w:rsidR="00397A72" w:rsidRPr="00AB56BB" w:rsidRDefault="00397A72" w:rsidP="00397A72">
            <w:pPr>
              <w:pStyle w:val="TableParagraph"/>
              <w:keepLines/>
              <w:widowControl/>
              <w:rPr>
                <w:rFonts w:ascii="Times New Roman"/>
                <w:sz w:val="18"/>
                <w:szCs w:val="20"/>
              </w:rPr>
            </w:pPr>
          </w:p>
        </w:tc>
        <w:tc>
          <w:tcPr>
            <w:tcW w:w="4534" w:type="dxa"/>
          </w:tcPr>
          <w:p w14:paraId="478DEC9E" w14:textId="77777777" w:rsidR="00397A72" w:rsidRPr="00AB56BB" w:rsidRDefault="00397A72" w:rsidP="00397A72">
            <w:pPr>
              <w:pStyle w:val="TableParagraph"/>
              <w:keepLines/>
              <w:widowControl/>
              <w:rPr>
                <w:rFonts w:ascii="Times New Roman"/>
                <w:sz w:val="18"/>
                <w:szCs w:val="20"/>
              </w:rPr>
            </w:pPr>
          </w:p>
        </w:tc>
      </w:tr>
      <w:tr w:rsidR="00397A72" w:rsidRPr="00AB56BB" w14:paraId="1A57C391" w14:textId="77777777" w:rsidTr="2539CAE0">
        <w:tc>
          <w:tcPr>
            <w:tcW w:w="1945" w:type="dxa"/>
            <w:vMerge/>
          </w:tcPr>
          <w:p w14:paraId="6EAE6640"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33959977" w14:textId="75DE3790" w:rsidR="00397A72" w:rsidRDefault="00397A72" w:rsidP="00397A72">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77777777" w:rsidR="00397A72" w:rsidRPr="00AB56BB" w:rsidRDefault="00397A72" w:rsidP="00397A72">
            <w:pPr>
              <w:pStyle w:val="TableParagraph"/>
              <w:keepLines/>
              <w:widowControl/>
              <w:rPr>
                <w:rFonts w:ascii="Times New Roman"/>
                <w:sz w:val="18"/>
                <w:szCs w:val="20"/>
              </w:rPr>
            </w:pPr>
          </w:p>
        </w:tc>
        <w:tc>
          <w:tcPr>
            <w:tcW w:w="3296" w:type="dxa"/>
          </w:tcPr>
          <w:p w14:paraId="1B06CA52" w14:textId="77777777" w:rsidR="00397A72" w:rsidRPr="00AB56BB" w:rsidRDefault="00397A72" w:rsidP="00397A72">
            <w:pPr>
              <w:pStyle w:val="TableParagraph"/>
              <w:keepLines/>
              <w:widowControl/>
              <w:rPr>
                <w:rFonts w:ascii="Times New Roman"/>
                <w:sz w:val="18"/>
                <w:szCs w:val="20"/>
              </w:rPr>
            </w:pPr>
          </w:p>
        </w:tc>
        <w:tc>
          <w:tcPr>
            <w:tcW w:w="4534" w:type="dxa"/>
          </w:tcPr>
          <w:p w14:paraId="6E8C6050" w14:textId="1975C398" w:rsidR="00397A72" w:rsidRPr="00AB56BB" w:rsidRDefault="00397A72" w:rsidP="00397A72">
            <w:pPr>
              <w:pStyle w:val="TableParagraph"/>
              <w:keepLines/>
              <w:widowControl/>
              <w:rPr>
                <w:rFonts w:ascii="Times New Roman"/>
                <w:sz w:val="18"/>
                <w:szCs w:val="18"/>
              </w:rPr>
            </w:pPr>
          </w:p>
        </w:tc>
      </w:tr>
      <w:tr w:rsidR="00397A72" w:rsidRPr="00AB56BB" w14:paraId="5DB56EE8" w14:textId="77777777" w:rsidTr="2539CAE0">
        <w:tc>
          <w:tcPr>
            <w:tcW w:w="1945" w:type="dxa"/>
            <w:vMerge/>
          </w:tcPr>
          <w:p w14:paraId="33F657BC"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0C909AC5" w14:textId="044418AD" w:rsidR="00397A72" w:rsidRDefault="00397A72" w:rsidP="00397A72">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77777777" w:rsidR="00397A72" w:rsidRPr="00AB56BB" w:rsidRDefault="00397A72" w:rsidP="00397A72">
            <w:pPr>
              <w:pStyle w:val="TableParagraph"/>
              <w:keepLines/>
              <w:widowControl/>
              <w:rPr>
                <w:rFonts w:ascii="Times New Roman"/>
                <w:sz w:val="18"/>
                <w:szCs w:val="20"/>
              </w:rPr>
            </w:pPr>
          </w:p>
        </w:tc>
        <w:tc>
          <w:tcPr>
            <w:tcW w:w="3296" w:type="dxa"/>
          </w:tcPr>
          <w:p w14:paraId="4515BFA6" w14:textId="77777777" w:rsidR="00397A72" w:rsidRPr="00AB56BB" w:rsidRDefault="00397A72" w:rsidP="00397A72">
            <w:pPr>
              <w:pStyle w:val="TableParagraph"/>
              <w:keepLines/>
              <w:widowControl/>
              <w:rPr>
                <w:rFonts w:ascii="Times New Roman"/>
                <w:sz w:val="18"/>
                <w:szCs w:val="20"/>
              </w:rPr>
            </w:pPr>
          </w:p>
        </w:tc>
        <w:tc>
          <w:tcPr>
            <w:tcW w:w="4534" w:type="dxa"/>
          </w:tcPr>
          <w:p w14:paraId="6E66180C" w14:textId="6E94194F" w:rsidR="00397A72" w:rsidRPr="00AB56BB" w:rsidRDefault="00397A72" w:rsidP="00397A72">
            <w:pPr>
              <w:pStyle w:val="TableParagraph"/>
              <w:keepLines/>
              <w:widowControl/>
              <w:rPr>
                <w:rFonts w:ascii="Times New Roman"/>
                <w:sz w:val="18"/>
                <w:szCs w:val="18"/>
              </w:rPr>
            </w:pPr>
          </w:p>
        </w:tc>
      </w:tr>
      <w:tr w:rsidR="00397A72" w:rsidRPr="00AB56BB" w14:paraId="2FAA517C" w14:textId="77777777" w:rsidTr="2539CAE0">
        <w:tc>
          <w:tcPr>
            <w:tcW w:w="1945" w:type="dxa"/>
            <w:vMerge/>
          </w:tcPr>
          <w:p w14:paraId="0B71937D"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1F33C6C1" w14:textId="0653DDEC" w:rsidR="00397A72" w:rsidRDefault="00397A72" w:rsidP="00397A72">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77777777" w:rsidR="00397A72" w:rsidRPr="00AB56BB" w:rsidRDefault="00397A72" w:rsidP="00397A72">
            <w:pPr>
              <w:pStyle w:val="TableParagraph"/>
              <w:keepLines/>
              <w:widowControl/>
              <w:rPr>
                <w:rFonts w:ascii="Times New Roman"/>
                <w:sz w:val="18"/>
                <w:szCs w:val="20"/>
              </w:rPr>
            </w:pPr>
          </w:p>
        </w:tc>
        <w:tc>
          <w:tcPr>
            <w:tcW w:w="3296" w:type="dxa"/>
          </w:tcPr>
          <w:p w14:paraId="1A3D8531" w14:textId="77777777" w:rsidR="00397A72" w:rsidRPr="00AB56BB" w:rsidRDefault="00397A72" w:rsidP="00397A72">
            <w:pPr>
              <w:pStyle w:val="TableParagraph"/>
              <w:keepLines/>
              <w:widowControl/>
              <w:rPr>
                <w:rFonts w:ascii="Times New Roman"/>
                <w:sz w:val="18"/>
                <w:szCs w:val="20"/>
              </w:rPr>
            </w:pPr>
          </w:p>
        </w:tc>
        <w:tc>
          <w:tcPr>
            <w:tcW w:w="4534" w:type="dxa"/>
          </w:tcPr>
          <w:p w14:paraId="452B7813" w14:textId="55DD5285" w:rsidR="00397A72" w:rsidRPr="00AB56BB" w:rsidRDefault="00397A72" w:rsidP="00397A72">
            <w:pPr>
              <w:pStyle w:val="TableParagraph"/>
              <w:keepLines/>
              <w:widowControl/>
              <w:rPr>
                <w:rFonts w:ascii="Times New Roman"/>
                <w:sz w:val="18"/>
                <w:szCs w:val="18"/>
              </w:rPr>
            </w:pPr>
          </w:p>
        </w:tc>
      </w:tr>
      <w:tr w:rsidR="00397A72" w:rsidRPr="00AB56BB" w14:paraId="32332293" w14:textId="77777777" w:rsidTr="2539CAE0">
        <w:tc>
          <w:tcPr>
            <w:tcW w:w="1945" w:type="dxa"/>
            <w:vMerge/>
          </w:tcPr>
          <w:p w14:paraId="3404E10F"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3A3ABC37" w14:textId="3663E1AB" w:rsidR="00397A72" w:rsidRDefault="00397A72" w:rsidP="00397A72">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77777777" w:rsidR="00397A72" w:rsidRPr="00AB56BB" w:rsidRDefault="00397A72" w:rsidP="00397A72">
            <w:pPr>
              <w:pStyle w:val="TableParagraph"/>
              <w:keepLines/>
              <w:widowControl/>
              <w:rPr>
                <w:rFonts w:ascii="Times New Roman"/>
                <w:sz w:val="18"/>
                <w:szCs w:val="20"/>
              </w:rPr>
            </w:pPr>
          </w:p>
        </w:tc>
        <w:tc>
          <w:tcPr>
            <w:tcW w:w="3296" w:type="dxa"/>
          </w:tcPr>
          <w:p w14:paraId="69B97D06" w14:textId="77777777" w:rsidR="00397A72" w:rsidRPr="00AB56BB" w:rsidRDefault="00397A72" w:rsidP="00397A72">
            <w:pPr>
              <w:pStyle w:val="TableParagraph"/>
              <w:keepLines/>
              <w:widowControl/>
              <w:rPr>
                <w:rFonts w:ascii="Times New Roman"/>
                <w:sz w:val="18"/>
                <w:szCs w:val="20"/>
              </w:rPr>
            </w:pPr>
          </w:p>
        </w:tc>
        <w:tc>
          <w:tcPr>
            <w:tcW w:w="4534" w:type="dxa"/>
          </w:tcPr>
          <w:p w14:paraId="0BFE3490" w14:textId="38A02EC4" w:rsidR="00397A72" w:rsidRPr="00AB56BB" w:rsidRDefault="00397A72" w:rsidP="00397A72">
            <w:pPr>
              <w:pStyle w:val="TableParagraph"/>
              <w:keepLines/>
              <w:widowControl/>
              <w:rPr>
                <w:rFonts w:ascii="Times New Roman"/>
                <w:sz w:val="18"/>
                <w:szCs w:val="20"/>
              </w:rPr>
            </w:pPr>
          </w:p>
        </w:tc>
      </w:tr>
      <w:tr w:rsidR="00397A72" w:rsidRPr="00AB56BB" w14:paraId="616226A1" w14:textId="77777777" w:rsidTr="2539CAE0">
        <w:trPr>
          <w:trHeight w:val="680"/>
        </w:trPr>
        <w:tc>
          <w:tcPr>
            <w:tcW w:w="1945" w:type="dxa"/>
            <w:vMerge w:val="restart"/>
            <w:tcBorders>
              <w:top w:val="dashed" w:sz="4" w:space="0" w:color="auto"/>
            </w:tcBorders>
          </w:tcPr>
          <w:p w14:paraId="3ABE4385" w14:textId="45FA3D29" w:rsidR="00397A72" w:rsidRDefault="00397A72" w:rsidP="00397A72">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rate making for attention)</w:t>
            </w:r>
          </w:p>
        </w:tc>
        <w:tc>
          <w:tcPr>
            <w:tcW w:w="2217" w:type="dxa"/>
          </w:tcPr>
          <w:p w14:paraId="30310C20" w14:textId="77777777" w:rsidR="00397A72" w:rsidRDefault="00397A72" w:rsidP="00397A72">
            <w:pPr>
              <w:pStyle w:val="TableParagraph"/>
              <w:keepLines/>
              <w:widowControl/>
              <w:spacing w:line="207" w:lineRule="exact"/>
              <w:ind w:left="180"/>
              <w:rPr>
                <w:sz w:val="18"/>
                <w:szCs w:val="20"/>
              </w:rPr>
            </w:pPr>
          </w:p>
        </w:tc>
        <w:tc>
          <w:tcPr>
            <w:tcW w:w="971" w:type="dxa"/>
            <w:gridSpan w:val="2"/>
          </w:tcPr>
          <w:p w14:paraId="64AAF40D" w14:textId="77777777" w:rsidR="00397A72" w:rsidRPr="00AB56BB" w:rsidRDefault="00397A72" w:rsidP="00397A72">
            <w:pPr>
              <w:pStyle w:val="TableParagraph"/>
              <w:keepLines/>
              <w:widowControl/>
              <w:rPr>
                <w:rFonts w:ascii="Times New Roman"/>
                <w:sz w:val="18"/>
                <w:szCs w:val="20"/>
              </w:rPr>
            </w:pPr>
          </w:p>
        </w:tc>
        <w:tc>
          <w:tcPr>
            <w:tcW w:w="3296" w:type="dxa"/>
          </w:tcPr>
          <w:p w14:paraId="0D617B0E" w14:textId="77777777" w:rsidR="00397A72" w:rsidRPr="00AB56BB" w:rsidRDefault="00397A72" w:rsidP="00397A72">
            <w:pPr>
              <w:pStyle w:val="TableParagraph"/>
              <w:keepLines/>
              <w:widowControl/>
              <w:rPr>
                <w:rFonts w:ascii="Times New Roman"/>
                <w:sz w:val="18"/>
                <w:szCs w:val="20"/>
              </w:rPr>
            </w:pPr>
          </w:p>
        </w:tc>
        <w:tc>
          <w:tcPr>
            <w:tcW w:w="4534" w:type="dxa"/>
          </w:tcPr>
          <w:p w14:paraId="6FBA83E0" w14:textId="77777777" w:rsidR="00397A72" w:rsidRPr="00AB56BB" w:rsidRDefault="00397A72" w:rsidP="00397A72">
            <w:pPr>
              <w:pStyle w:val="TableParagraph"/>
              <w:keepLines/>
              <w:widowControl/>
              <w:rPr>
                <w:rFonts w:ascii="Times New Roman"/>
                <w:sz w:val="18"/>
                <w:szCs w:val="20"/>
              </w:rPr>
            </w:pPr>
          </w:p>
        </w:tc>
      </w:tr>
      <w:tr w:rsidR="00397A72" w:rsidRPr="00AB56BB" w14:paraId="1853A5E2" w14:textId="77777777" w:rsidTr="2539CAE0">
        <w:tc>
          <w:tcPr>
            <w:tcW w:w="1945" w:type="dxa"/>
            <w:vMerge/>
          </w:tcPr>
          <w:p w14:paraId="7A3C70CC"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7BC04E72" w14:textId="77777777" w:rsidR="00397A72" w:rsidRDefault="00397A72" w:rsidP="00397A72">
            <w:pPr>
              <w:pStyle w:val="TableParagraph"/>
              <w:keepLines/>
              <w:widowControl/>
              <w:spacing w:line="207" w:lineRule="exact"/>
              <w:ind w:left="180"/>
              <w:rPr>
                <w:sz w:val="18"/>
                <w:szCs w:val="20"/>
              </w:rPr>
            </w:pPr>
          </w:p>
        </w:tc>
        <w:tc>
          <w:tcPr>
            <w:tcW w:w="971" w:type="dxa"/>
            <w:gridSpan w:val="2"/>
          </w:tcPr>
          <w:p w14:paraId="1B8E73DC" w14:textId="77777777" w:rsidR="00397A72" w:rsidRPr="00AB56BB" w:rsidRDefault="00397A72" w:rsidP="00397A72">
            <w:pPr>
              <w:pStyle w:val="TableParagraph"/>
              <w:keepLines/>
              <w:widowControl/>
              <w:rPr>
                <w:rFonts w:ascii="Times New Roman"/>
                <w:sz w:val="18"/>
                <w:szCs w:val="20"/>
              </w:rPr>
            </w:pPr>
          </w:p>
        </w:tc>
        <w:tc>
          <w:tcPr>
            <w:tcW w:w="3296" w:type="dxa"/>
          </w:tcPr>
          <w:p w14:paraId="42FF8FEB" w14:textId="77777777" w:rsidR="00397A72" w:rsidRPr="00AB56BB" w:rsidRDefault="00397A72" w:rsidP="00397A72">
            <w:pPr>
              <w:pStyle w:val="TableParagraph"/>
              <w:keepLines/>
              <w:widowControl/>
              <w:rPr>
                <w:rFonts w:ascii="Times New Roman"/>
                <w:sz w:val="18"/>
                <w:szCs w:val="20"/>
              </w:rPr>
            </w:pPr>
          </w:p>
        </w:tc>
        <w:tc>
          <w:tcPr>
            <w:tcW w:w="4534" w:type="dxa"/>
          </w:tcPr>
          <w:p w14:paraId="614111C5" w14:textId="77777777" w:rsidR="00397A72" w:rsidRPr="00AB56BB" w:rsidRDefault="00397A72" w:rsidP="00397A72">
            <w:pPr>
              <w:pStyle w:val="TableParagraph"/>
              <w:keepLines/>
              <w:widowControl/>
              <w:rPr>
                <w:rFonts w:ascii="Times New Roman"/>
                <w:sz w:val="18"/>
                <w:szCs w:val="20"/>
              </w:rPr>
            </w:pPr>
          </w:p>
        </w:tc>
      </w:tr>
      <w:tr w:rsidR="00397A72" w:rsidRPr="00AB56BB" w14:paraId="41F8BC61" w14:textId="77777777" w:rsidTr="2539CAE0">
        <w:tc>
          <w:tcPr>
            <w:tcW w:w="1945" w:type="dxa"/>
          </w:tcPr>
          <w:p w14:paraId="6EC225F6" w14:textId="5B253493" w:rsidR="00397A72" w:rsidRDefault="00397A72" w:rsidP="00397A72">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397A72" w:rsidRDefault="00397A72" w:rsidP="00397A72">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77777777" w:rsidR="00397A72" w:rsidRPr="00AB56BB" w:rsidRDefault="00397A72" w:rsidP="00397A72">
            <w:pPr>
              <w:pStyle w:val="TableParagraph"/>
              <w:keepLines/>
              <w:widowControl/>
              <w:rPr>
                <w:rFonts w:ascii="Times New Roman"/>
                <w:sz w:val="18"/>
                <w:szCs w:val="20"/>
              </w:rPr>
            </w:pPr>
          </w:p>
        </w:tc>
        <w:tc>
          <w:tcPr>
            <w:tcW w:w="3296" w:type="dxa"/>
          </w:tcPr>
          <w:p w14:paraId="51B799F7" w14:textId="77777777" w:rsidR="00397A72" w:rsidRPr="00AB56BB" w:rsidRDefault="00397A72" w:rsidP="00397A72">
            <w:pPr>
              <w:pStyle w:val="TableParagraph"/>
              <w:keepLines/>
              <w:widowControl/>
              <w:rPr>
                <w:rFonts w:ascii="Times New Roman"/>
                <w:sz w:val="18"/>
                <w:szCs w:val="20"/>
              </w:rPr>
            </w:pPr>
          </w:p>
        </w:tc>
        <w:tc>
          <w:tcPr>
            <w:tcW w:w="4534" w:type="dxa"/>
          </w:tcPr>
          <w:p w14:paraId="0B9A854E" w14:textId="77777777" w:rsidR="00397A72" w:rsidRPr="00AB56BB" w:rsidRDefault="00397A72" w:rsidP="00397A72">
            <w:pPr>
              <w:pStyle w:val="TableParagraph"/>
              <w:keepLines/>
              <w:widowControl/>
              <w:rPr>
                <w:rFonts w:ascii="Times New Roman"/>
                <w:sz w:val="18"/>
                <w:szCs w:val="20"/>
              </w:rPr>
            </w:pPr>
          </w:p>
        </w:tc>
      </w:tr>
      <w:tr w:rsidR="00397A72" w:rsidRPr="00AB56BB" w14:paraId="7DD1FE9E" w14:textId="77777777" w:rsidTr="2539CAE0">
        <w:tc>
          <w:tcPr>
            <w:tcW w:w="1945" w:type="dxa"/>
            <w:vMerge w:val="restart"/>
            <w:vAlign w:val="center"/>
          </w:tcPr>
          <w:p w14:paraId="590187A1" w14:textId="48CE5B90" w:rsidR="00397A72" w:rsidRDefault="00397A72" w:rsidP="00397A72">
            <w:pPr>
              <w:pStyle w:val="TableParagraph"/>
              <w:keepLines/>
              <w:widowControl/>
              <w:spacing w:line="268" w:lineRule="auto"/>
              <w:ind w:left="60"/>
              <w:rPr>
                <w:b/>
                <w:spacing w:val="-2"/>
                <w:sz w:val="18"/>
                <w:szCs w:val="20"/>
              </w:rPr>
            </w:pPr>
            <w:r>
              <w:rPr>
                <w:b/>
                <w:spacing w:val="-2"/>
                <w:sz w:val="18"/>
                <w:szCs w:val="20"/>
              </w:rPr>
              <w:t>Performance adjustments and measurement</w:t>
            </w:r>
          </w:p>
        </w:tc>
        <w:tc>
          <w:tcPr>
            <w:tcW w:w="2217" w:type="dxa"/>
          </w:tcPr>
          <w:p w14:paraId="2ABD08DA" w14:textId="5A5DFA13" w:rsidR="00397A72" w:rsidRDefault="00397A72" w:rsidP="00397A72">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77777777" w:rsidR="00397A72" w:rsidRPr="00AB56BB" w:rsidRDefault="00397A72" w:rsidP="00397A72">
            <w:pPr>
              <w:pStyle w:val="TableParagraph"/>
              <w:keepLines/>
              <w:widowControl/>
              <w:rPr>
                <w:rFonts w:ascii="Times New Roman"/>
                <w:sz w:val="18"/>
                <w:szCs w:val="20"/>
              </w:rPr>
            </w:pPr>
          </w:p>
        </w:tc>
        <w:tc>
          <w:tcPr>
            <w:tcW w:w="3296" w:type="dxa"/>
          </w:tcPr>
          <w:p w14:paraId="4DC630B0" w14:textId="77777777" w:rsidR="00397A72" w:rsidRPr="00AB56BB" w:rsidRDefault="00397A72" w:rsidP="00397A72">
            <w:pPr>
              <w:pStyle w:val="TableParagraph"/>
              <w:keepLines/>
              <w:widowControl/>
              <w:rPr>
                <w:rFonts w:ascii="Times New Roman"/>
                <w:sz w:val="18"/>
                <w:szCs w:val="20"/>
              </w:rPr>
            </w:pPr>
          </w:p>
        </w:tc>
        <w:tc>
          <w:tcPr>
            <w:tcW w:w="4534" w:type="dxa"/>
          </w:tcPr>
          <w:p w14:paraId="4746AFC5" w14:textId="77777777" w:rsidR="00397A72" w:rsidRPr="00AB56BB" w:rsidRDefault="00397A72" w:rsidP="00397A72">
            <w:pPr>
              <w:pStyle w:val="TableParagraph"/>
              <w:keepLines/>
              <w:widowControl/>
              <w:rPr>
                <w:rFonts w:ascii="Times New Roman"/>
                <w:sz w:val="18"/>
                <w:szCs w:val="20"/>
              </w:rPr>
            </w:pPr>
          </w:p>
        </w:tc>
      </w:tr>
      <w:tr w:rsidR="00397A72" w:rsidRPr="00AB56BB" w14:paraId="1471EFFC" w14:textId="77777777" w:rsidTr="2539CAE0">
        <w:tc>
          <w:tcPr>
            <w:tcW w:w="1945" w:type="dxa"/>
            <w:vMerge/>
          </w:tcPr>
          <w:p w14:paraId="793746CD"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58A41A03" w14:textId="68B4CA94" w:rsidR="00397A72" w:rsidRDefault="00397A72" w:rsidP="00397A72">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1D60A7A9" w:rsidR="00397A72" w:rsidRPr="00AB56BB" w:rsidRDefault="00397A72" w:rsidP="00397A72">
            <w:pPr>
              <w:pStyle w:val="TableParagraph"/>
              <w:keepLines/>
              <w:widowControl/>
              <w:rPr>
                <w:rFonts w:ascii="Times New Roman"/>
                <w:sz w:val="18"/>
                <w:szCs w:val="20"/>
              </w:rPr>
            </w:pPr>
          </w:p>
        </w:tc>
        <w:tc>
          <w:tcPr>
            <w:tcW w:w="3296" w:type="dxa"/>
          </w:tcPr>
          <w:p w14:paraId="0EE17BEE" w14:textId="2377D880" w:rsidR="00397A72" w:rsidRPr="00AB56BB" w:rsidRDefault="00397A72" w:rsidP="00397A72">
            <w:pPr>
              <w:pStyle w:val="TableParagraph"/>
              <w:keepLines/>
              <w:widowControl/>
              <w:rPr>
                <w:rFonts w:ascii="Times New Roman"/>
                <w:sz w:val="18"/>
                <w:szCs w:val="20"/>
              </w:rPr>
            </w:pPr>
          </w:p>
        </w:tc>
        <w:tc>
          <w:tcPr>
            <w:tcW w:w="4534" w:type="dxa"/>
          </w:tcPr>
          <w:p w14:paraId="7B5C067D" w14:textId="6A681266" w:rsidR="00397A72" w:rsidRPr="00AB56BB" w:rsidRDefault="00397A72" w:rsidP="00397A72">
            <w:pPr>
              <w:pStyle w:val="TableParagraph"/>
              <w:keepLines/>
              <w:widowControl/>
              <w:rPr>
                <w:rFonts w:ascii="Times New Roman"/>
                <w:sz w:val="18"/>
                <w:szCs w:val="20"/>
              </w:rPr>
            </w:pPr>
            <w:r>
              <w:rPr>
                <w:rFonts w:ascii="Times New Roman"/>
                <w:sz w:val="18"/>
                <w:szCs w:val="20"/>
              </w:rPr>
              <w:t xml:space="preserve"> </w:t>
            </w:r>
          </w:p>
        </w:tc>
      </w:tr>
      <w:tr w:rsidR="00397A72" w:rsidRPr="00AB56BB" w14:paraId="60AB1906" w14:textId="77777777" w:rsidTr="2539CAE0">
        <w:tc>
          <w:tcPr>
            <w:tcW w:w="1945" w:type="dxa"/>
            <w:vMerge/>
          </w:tcPr>
          <w:p w14:paraId="7C1E7A21" w14:textId="74B2FD2F" w:rsidR="00397A72" w:rsidRDefault="00397A72" w:rsidP="00397A72">
            <w:pPr>
              <w:pStyle w:val="TableParagraph"/>
              <w:keepLines/>
              <w:widowControl/>
              <w:spacing w:line="268" w:lineRule="auto"/>
              <w:ind w:left="60"/>
              <w:rPr>
                <w:b/>
                <w:spacing w:val="-2"/>
                <w:sz w:val="18"/>
                <w:szCs w:val="20"/>
              </w:rPr>
            </w:pPr>
          </w:p>
        </w:tc>
        <w:tc>
          <w:tcPr>
            <w:tcW w:w="2217" w:type="dxa"/>
          </w:tcPr>
          <w:p w14:paraId="38404085" w14:textId="04A24FEF" w:rsidR="00397A72" w:rsidRDefault="00397A72" w:rsidP="00397A72">
            <w:pPr>
              <w:pStyle w:val="TableParagraph"/>
              <w:keepLines/>
              <w:widowControl/>
              <w:spacing w:line="207" w:lineRule="exact"/>
              <w:ind w:left="104"/>
              <w:rPr>
                <w:sz w:val="18"/>
                <w:szCs w:val="20"/>
              </w:rPr>
            </w:pPr>
            <w:r>
              <w:rPr>
                <w:sz w:val="18"/>
                <w:szCs w:val="20"/>
              </w:rPr>
              <w:t>Performance mechanisms (e.g., metrics, scorecards, PIMS), including Case No. PUR-2023-00210 (Separate SCC PBR Case)</w:t>
            </w:r>
          </w:p>
        </w:tc>
        <w:tc>
          <w:tcPr>
            <w:tcW w:w="971" w:type="dxa"/>
            <w:gridSpan w:val="2"/>
          </w:tcPr>
          <w:p w14:paraId="13F803F6" w14:textId="77777777" w:rsidR="00397A72" w:rsidRPr="00AB56BB" w:rsidRDefault="00397A72" w:rsidP="00397A72">
            <w:pPr>
              <w:pStyle w:val="TableParagraph"/>
              <w:keepLines/>
              <w:widowControl/>
              <w:rPr>
                <w:rFonts w:ascii="Times New Roman"/>
                <w:sz w:val="18"/>
                <w:szCs w:val="20"/>
              </w:rPr>
            </w:pPr>
          </w:p>
        </w:tc>
        <w:tc>
          <w:tcPr>
            <w:tcW w:w="3296" w:type="dxa"/>
          </w:tcPr>
          <w:p w14:paraId="2CBCBF72" w14:textId="77777777" w:rsidR="00397A72" w:rsidRPr="00AB56BB" w:rsidRDefault="00397A72" w:rsidP="00397A72">
            <w:pPr>
              <w:pStyle w:val="TableParagraph"/>
              <w:keepLines/>
              <w:widowControl/>
              <w:rPr>
                <w:rFonts w:ascii="Times New Roman"/>
                <w:sz w:val="18"/>
                <w:szCs w:val="20"/>
              </w:rPr>
            </w:pPr>
          </w:p>
        </w:tc>
        <w:tc>
          <w:tcPr>
            <w:tcW w:w="4534" w:type="dxa"/>
          </w:tcPr>
          <w:p w14:paraId="60095267" w14:textId="77777777" w:rsidR="00397A72" w:rsidRPr="00AB56BB" w:rsidRDefault="00397A72" w:rsidP="00397A72">
            <w:pPr>
              <w:pStyle w:val="TableParagraph"/>
              <w:keepLines/>
              <w:widowControl/>
              <w:rPr>
                <w:rFonts w:ascii="Times New Roman"/>
                <w:sz w:val="18"/>
                <w:szCs w:val="20"/>
              </w:rPr>
            </w:pPr>
          </w:p>
        </w:tc>
      </w:tr>
      <w:tr w:rsidR="00397A72" w:rsidRPr="00AB56BB" w14:paraId="3AB55596" w14:textId="77777777" w:rsidTr="2539CAE0">
        <w:trPr>
          <w:cantSplit/>
        </w:trPr>
        <w:tc>
          <w:tcPr>
            <w:tcW w:w="1945" w:type="dxa"/>
            <w:vMerge w:val="restart"/>
            <w:vAlign w:val="center"/>
          </w:tcPr>
          <w:p w14:paraId="1EEBF2B1" w14:textId="35FE5C34" w:rsidR="00397A72" w:rsidRDefault="00397A72" w:rsidP="00397A72">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397A72" w:rsidRDefault="00397A72" w:rsidP="00397A72">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77777777" w:rsidR="00397A72" w:rsidRPr="00AB56BB" w:rsidRDefault="00397A72" w:rsidP="00397A72">
            <w:pPr>
              <w:pStyle w:val="TableParagraph"/>
              <w:keepLines/>
              <w:widowControl/>
              <w:rPr>
                <w:rFonts w:ascii="Times New Roman"/>
                <w:sz w:val="18"/>
                <w:szCs w:val="20"/>
              </w:rPr>
            </w:pPr>
          </w:p>
        </w:tc>
        <w:tc>
          <w:tcPr>
            <w:tcW w:w="3296" w:type="dxa"/>
          </w:tcPr>
          <w:p w14:paraId="185F5CFF" w14:textId="77777777" w:rsidR="00397A72" w:rsidRPr="00AB56BB" w:rsidRDefault="00397A72" w:rsidP="00397A72">
            <w:pPr>
              <w:pStyle w:val="TableParagraph"/>
              <w:keepLines/>
              <w:widowControl/>
              <w:rPr>
                <w:rFonts w:ascii="Times New Roman"/>
                <w:sz w:val="18"/>
                <w:szCs w:val="20"/>
              </w:rPr>
            </w:pPr>
          </w:p>
        </w:tc>
        <w:tc>
          <w:tcPr>
            <w:tcW w:w="4534" w:type="dxa"/>
          </w:tcPr>
          <w:p w14:paraId="1D7F60E8" w14:textId="77777777" w:rsidR="00397A72" w:rsidRPr="00AB56BB" w:rsidRDefault="00397A72" w:rsidP="00397A72">
            <w:pPr>
              <w:pStyle w:val="TableParagraph"/>
              <w:keepLines/>
              <w:widowControl/>
              <w:rPr>
                <w:rFonts w:ascii="Times New Roman"/>
                <w:sz w:val="18"/>
                <w:szCs w:val="20"/>
              </w:rPr>
            </w:pPr>
          </w:p>
        </w:tc>
      </w:tr>
      <w:tr w:rsidR="00397A72" w:rsidRPr="00AB56BB" w14:paraId="513C320E" w14:textId="77777777" w:rsidTr="2539CAE0">
        <w:trPr>
          <w:cantSplit/>
        </w:trPr>
        <w:tc>
          <w:tcPr>
            <w:tcW w:w="1945" w:type="dxa"/>
            <w:vMerge/>
          </w:tcPr>
          <w:p w14:paraId="5DC3121C"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1F9AA945" w14:textId="2E8DE4EB" w:rsidR="00397A72" w:rsidRDefault="00397A72" w:rsidP="00397A72">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77777777" w:rsidR="00397A72" w:rsidRPr="00AB56BB" w:rsidRDefault="00397A72" w:rsidP="00397A72">
            <w:pPr>
              <w:pStyle w:val="TableParagraph"/>
              <w:keepLines/>
              <w:widowControl/>
              <w:rPr>
                <w:rFonts w:ascii="Times New Roman"/>
                <w:sz w:val="18"/>
                <w:szCs w:val="20"/>
              </w:rPr>
            </w:pPr>
          </w:p>
        </w:tc>
        <w:tc>
          <w:tcPr>
            <w:tcW w:w="3296" w:type="dxa"/>
          </w:tcPr>
          <w:p w14:paraId="76E1DA20" w14:textId="77777777" w:rsidR="00397A72" w:rsidRPr="00AB56BB" w:rsidRDefault="00397A72" w:rsidP="00397A72">
            <w:pPr>
              <w:pStyle w:val="TableParagraph"/>
              <w:keepLines/>
              <w:widowControl/>
              <w:rPr>
                <w:rFonts w:ascii="Times New Roman"/>
                <w:sz w:val="18"/>
                <w:szCs w:val="20"/>
              </w:rPr>
            </w:pPr>
          </w:p>
        </w:tc>
        <w:tc>
          <w:tcPr>
            <w:tcW w:w="4534" w:type="dxa"/>
          </w:tcPr>
          <w:p w14:paraId="517A05C5" w14:textId="77777777" w:rsidR="00397A72" w:rsidRPr="00AB56BB" w:rsidRDefault="00397A72" w:rsidP="00397A72">
            <w:pPr>
              <w:pStyle w:val="TableParagraph"/>
              <w:keepLines/>
              <w:widowControl/>
              <w:rPr>
                <w:rFonts w:ascii="Times New Roman"/>
                <w:sz w:val="18"/>
                <w:szCs w:val="20"/>
              </w:rPr>
            </w:pPr>
          </w:p>
        </w:tc>
      </w:tr>
      <w:tr w:rsidR="00397A72" w:rsidRPr="00AB56BB" w14:paraId="4A37840C" w14:textId="77777777" w:rsidTr="2539CAE0">
        <w:trPr>
          <w:cantSplit/>
        </w:trPr>
        <w:tc>
          <w:tcPr>
            <w:tcW w:w="1945" w:type="dxa"/>
            <w:vMerge/>
          </w:tcPr>
          <w:p w14:paraId="1BD8D144"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67E0E675" w14:textId="471ACD6D" w:rsidR="00397A72" w:rsidRDefault="00397A72" w:rsidP="00397A72">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77777777" w:rsidR="00397A72" w:rsidRPr="00AB56BB" w:rsidRDefault="00397A72" w:rsidP="00397A72">
            <w:pPr>
              <w:pStyle w:val="TableParagraph"/>
              <w:keepLines/>
              <w:widowControl/>
              <w:rPr>
                <w:rFonts w:ascii="Times New Roman"/>
                <w:sz w:val="18"/>
                <w:szCs w:val="20"/>
              </w:rPr>
            </w:pPr>
          </w:p>
        </w:tc>
        <w:tc>
          <w:tcPr>
            <w:tcW w:w="3296" w:type="dxa"/>
          </w:tcPr>
          <w:p w14:paraId="2D3738F1" w14:textId="77777777" w:rsidR="00397A72" w:rsidRPr="00AB56BB" w:rsidRDefault="00397A72" w:rsidP="00397A72">
            <w:pPr>
              <w:pStyle w:val="TableParagraph"/>
              <w:keepLines/>
              <w:widowControl/>
              <w:rPr>
                <w:rFonts w:ascii="Times New Roman"/>
                <w:sz w:val="18"/>
                <w:szCs w:val="20"/>
              </w:rPr>
            </w:pPr>
          </w:p>
        </w:tc>
        <w:tc>
          <w:tcPr>
            <w:tcW w:w="4534" w:type="dxa"/>
          </w:tcPr>
          <w:p w14:paraId="3A903B16" w14:textId="77777777" w:rsidR="00397A72" w:rsidRPr="00AB56BB" w:rsidRDefault="00397A72" w:rsidP="00397A72">
            <w:pPr>
              <w:pStyle w:val="TableParagraph"/>
              <w:keepLines/>
              <w:widowControl/>
              <w:rPr>
                <w:rFonts w:ascii="Times New Roman"/>
                <w:sz w:val="18"/>
                <w:szCs w:val="20"/>
              </w:rPr>
            </w:pPr>
          </w:p>
        </w:tc>
      </w:tr>
      <w:tr w:rsidR="00397A72" w:rsidRPr="00AB56BB" w14:paraId="70B15E51" w14:textId="77777777" w:rsidTr="2539CAE0">
        <w:trPr>
          <w:cantSplit/>
        </w:trPr>
        <w:tc>
          <w:tcPr>
            <w:tcW w:w="1945" w:type="dxa"/>
            <w:vMerge/>
          </w:tcPr>
          <w:p w14:paraId="4ED19E05" w14:textId="77777777" w:rsidR="00397A72" w:rsidRDefault="00397A72" w:rsidP="00397A72">
            <w:pPr>
              <w:pStyle w:val="TableParagraph"/>
              <w:keepLines/>
              <w:widowControl/>
              <w:spacing w:line="268" w:lineRule="auto"/>
              <w:ind w:left="60"/>
              <w:rPr>
                <w:b/>
                <w:spacing w:val="-2"/>
                <w:sz w:val="18"/>
                <w:szCs w:val="20"/>
              </w:rPr>
            </w:pPr>
          </w:p>
        </w:tc>
        <w:tc>
          <w:tcPr>
            <w:tcW w:w="2217" w:type="dxa"/>
          </w:tcPr>
          <w:p w14:paraId="5AA8019A" w14:textId="38C5E925" w:rsidR="00397A72" w:rsidRDefault="00397A72" w:rsidP="00397A72">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77777777" w:rsidR="00397A72" w:rsidRPr="00AB56BB" w:rsidRDefault="00397A72" w:rsidP="00397A72">
            <w:pPr>
              <w:pStyle w:val="TableParagraph"/>
              <w:keepLines/>
              <w:widowControl/>
              <w:rPr>
                <w:rFonts w:ascii="Times New Roman"/>
                <w:sz w:val="18"/>
                <w:szCs w:val="20"/>
              </w:rPr>
            </w:pPr>
          </w:p>
        </w:tc>
        <w:tc>
          <w:tcPr>
            <w:tcW w:w="3296" w:type="dxa"/>
          </w:tcPr>
          <w:p w14:paraId="44FA10F0" w14:textId="77777777" w:rsidR="00397A72" w:rsidRPr="00AB56BB" w:rsidRDefault="00397A72" w:rsidP="00397A72">
            <w:pPr>
              <w:pStyle w:val="TableParagraph"/>
              <w:keepLines/>
              <w:widowControl/>
              <w:rPr>
                <w:rFonts w:ascii="Times New Roman"/>
                <w:sz w:val="18"/>
                <w:szCs w:val="20"/>
              </w:rPr>
            </w:pPr>
          </w:p>
        </w:tc>
        <w:tc>
          <w:tcPr>
            <w:tcW w:w="4534" w:type="dxa"/>
          </w:tcPr>
          <w:p w14:paraId="48689F3A" w14:textId="77777777" w:rsidR="00397A72" w:rsidRPr="00AB56BB" w:rsidRDefault="00397A72" w:rsidP="00397A72">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46"/>
        <w:gridCol w:w="1522"/>
        <w:gridCol w:w="7434"/>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7777777" w:rsidR="00615B91" w:rsidRDefault="00615B91">
            <w:pPr>
              <w:pStyle w:val="BodyText"/>
              <w:spacing w:before="63"/>
            </w:pPr>
          </w:p>
        </w:tc>
        <w:tc>
          <w:tcPr>
            <w:tcW w:w="7470" w:type="dxa"/>
          </w:tcPr>
          <w:p w14:paraId="28993F9A" w14:textId="77777777" w:rsidR="00615B91" w:rsidRDefault="00615B91">
            <w:pPr>
              <w:pStyle w:val="BodyText"/>
              <w:spacing w:before="63"/>
            </w:pP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E553BFC" w14:textId="77777777" w:rsidR="00615B91" w:rsidRDefault="00615B91">
            <w:pPr>
              <w:pStyle w:val="BodyText"/>
              <w:spacing w:before="63"/>
            </w:pP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t xml:space="preserve">- (NO) </w:t>
            </w:r>
            <w:r w:rsidRPr="00754FD1">
              <w:t>disincentivizes achievement</w:t>
            </w:r>
          </w:p>
        </w:tc>
        <w:tc>
          <w:tcPr>
            <w:tcW w:w="1530" w:type="dxa"/>
          </w:tcPr>
          <w:p w14:paraId="484E130E" w14:textId="77777777" w:rsidR="00615B91" w:rsidRDefault="00615B91">
            <w:pPr>
              <w:pStyle w:val="BodyText"/>
              <w:spacing w:before="63"/>
            </w:pPr>
          </w:p>
        </w:tc>
        <w:tc>
          <w:tcPr>
            <w:tcW w:w="7470" w:type="dxa"/>
          </w:tcPr>
          <w:p w14:paraId="763DD1AE" w14:textId="77777777" w:rsidR="00615B91" w:rsidRDefault="00615B91">
            <w:pPr>
              <w:pStyle w:val="BodyText"/>
              <w:spacing w:before="63"/>
            </w:pP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5AFA7A3D"/>
    <w:multiLevelType w:val="hybridMultilevel"/>
    <w:tmpl w:val="64E4DE5C"/>
    <w:lvl w:ilvl="0" w:tplc="370C4BE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58D7BE3"/>
    <w:multiLevelType w:val="hybridMultilevel"/>
    <w:tmpl w:val="F1CA6492"/>
    <w:lvl w:ilvl="0" w:tplc="84A6547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051922">
    <w:abstractNumId w:val="0"/>
  </w:num>
  <w:num w:numId="2" w16cid:durableId="1043477947">
    <w:abstractNumId w:val="2"/>
  </w:num>
  <w:num w:numId="3" w16cid:durableId="759838848">
    <w:abstractNumId w:val="3"/>
  </w:num>
  <w:num w:numId="4" w16cid:durableId="2479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24"/>
    <w:rsid w:val="00003EBB"/>
    <w:rsid w:val="00011C8A"/>
    <w:rsid w:val="00030B40"/>
    <w:rsid w:val="00036883"/>
    <w:rsid w:val="000460F7"/>
    <w:rsid w:val="00054C51"/>
    <w:rsid w:val="00055B1A"/>
    <w:rsid w:val="00073979"/>
    <w:rsid w:val="00083862"/>
    <w:rsid w:val="000868B8"/>
    <w:rsid w:val="00093FE1"/>
    <w:rsid w:val="000B6FEE"/>
    <w:rsid w:val="000C1A37"/>
    <w:rsid w:val="000C540E"/>
    <w:rsid w:val="000D5D3E"/>
    <w:rsid w:val="000D6A65"/>
    <w:rsid w:val="00102191"/>
    <w:rsid w:val="001347A7"/>
    <w:rsid w:val="00151704"/>
    <w:rsid w:val="00153DAC"/>
    <w:rsid w:val="00164208"/>
    <w:rsid w:val="00170B8D"/>
    <w:rsid w:val="00171D14"/>
    <w:rsid w:val="00184101"/>
    <w:rsid w:val="001D3F19"/>
    <w:rsid w:val="001D7C93"/>
    <w:rsid w:val="00227669"/>
    <w:rsid w:val="00231CD8"/>
    <w:rsid w:val="002328B9"/>
    <w:rsid w:val="002330C2"/>
    <w:rsid w:val="00244057"/>
    <w:rsid w:val="00244168"/>
    <w:rsid w:val="00266D23"/>
    <w:rsid w:val="002772F7"/>
    <w:rsid w:val="0028509B"/>
    <w:rsid w:val="002A4C87"/>
    <w:rsid w:val="002B2930"/>
    <w:rsid w:val="002C5955"/>
    <w:rsid w:val="002D6FA4"/>
    <w:rsid w:val="002D741E"/>
    <w:rsid w:val="002E4B1D"/>
    <w:rsid w:val="002F44AD"/>
    <w:rsid w:val="00301124"/>
    <w:rsid w:val="0034215D"/>
    <w:rsid w:val="00355536"/>
    <w:rsid w:val="00376BB9"/>
    <w:rsid w:val="003841E6"/>
    <w:rsid w:val="00392ADD"/>
    <w:rsid w:val="00397A72"/>
    <w:rsid w:val="003B2653"/>
    <w:rsid w:val="003C30FC"/>
    <w:rsid w:val="003D5C0B"/>
    <w:rsid w:val="003E2469"/>
    <w:rsid w:val="003F4240"/>
    <w:rsid w:val="00407EE7"/>
    <w:rsid w:val="004137AD"/>
    <w:rsid w:val="00413A72"/>
    <w:rsid w:val="00436984"/>
    <w:rsid w:val="00465EDD"/>
    <w:rsid w:val="0047002F"/>
    <w:rsid w:val="00496C9F"/>
    <w:rsid w:val="00496FF4"/>
    <w:rsid w:val="004A2957"/>
    <w:rsid w:val="004B76A9"/>
    <w:rsid w:val="004C1249"/>
    <w:rsid w:val="004C7A24"/>
    <w:rsid w:val="004D3195"/>
    <w:rsid w:val="004E09CA"/>
    <w:rsid w:val="005176C8"/>
    <w:rsid w:val="005258EF"/>
    <w:rsid w:val="005266A6"/>
    <w:rsid w:val="005448D6"/>
    <w:rsid w:val="00545EFF"/>
    <w:rsid w:val="005475E0"/>
    <w:rsid w:val="00547D7E"/>
    <w:rsid w:val="00573C42"/>
    <w:rsid w:val="00576840"/>
    <w:rsid w:val="005947D3"/>
    <w:rsid w:val="005A22A8"/>
    <w:rsid w:val="005A69A8"/>
    <w:rsid w:val="005B30CB"/>
    <w:rsid w:val="005C7B09"/>
    <w:rsid w:val="005D0F2A"/>
    <w:rsid w:val="005E6E95"/>
    <w:rsid w:val="005F257D"/>
    <w:rsid w:val="00614208"/>
    <w:rsid w:val="00615B91"/>
    <w:rsid w:val="006253AE"/>
    <w:rsid w:val="0063094C"/>
    <w:rsid w:val="00656C5D"/>
    <w:rsid w:val="00680819"/>
    <w:rsid w:val="006816E1"/>
    <w:rsid w:val="006819D3"/>
    <w:rsid w:val="00690C71"/>
    <w:rsid w:val="00691EC5"/>
    <w:rsid w:val="0069659F"/>
    <w:rsid w:val="006A3122"/>
    <w:rsid w:val="006B38B8"/>
    <w:rsid w:val="006D132E"/>
    <w:rsid w:val="00710EAA"/>
    <w:rsid w:val="00714310"/>
    <w:rsid w:val="00750864"/>
    <w:rsid w:val="00754FD1"/>
    <w:rsid w:val="007629A1"/>
    <w:rsid w:val="00770BDF"/>
    <w:rsid w:val="007808A6"/>
    <w:rsid w:val="00793FE9"/>
    <w:rsid w:val="0079634D"/>
    <w:rsid w:val="007C4793"/>
    <w:rsid w:val="007D75B2"/>
    <w:rsid w:val="007E547C"/>
    <w:rsid w:val="007F02AE"/>
    <w:rsid w:val="00801B2C"/>
    <w:rsid w:val="00814768"/>
    <w:rsid w:val="008210CD"/>
    <w:rsid w:val="00832CCF"/>
    <w:rsid w:val="00851168"/>
    <w:rsid w:val="008B5900"/>
    <w:rsid w:val="008C5672"/>
    <w:rsid w:val="008D1F0D"/>
    <w:rsid w:val="008D5F1D"/>
    <w:rsid w:val="009410E2"/>
    <w:rsid w:val="00954D7F"/>
    <w:rsid w:val="00975722"/>
    <w:rsid w:val="00985A5C"/>
    <w:rsid w:val="0099153C"/>
    <w:rsid w:val="009A063C"/>
    <w:rsid w:val="009A4357"/>
    <w:rsid w:val="009A4618"/>
    <w:rsid w:val="009B706B"/>
    <w:rsid w:val="009D0627"/>
    <w:rsid w:val="00A27048"/>
    <w:rsid w:val="00A35606"/>
    <w:rsid w:val="00A41F54"/>
    <w:rsid w:val="00A568B8"/>
    <w:rsid w:val="00A64864"/>
    <w:rsid w:val="00A65347"/>
    <w:rsid w:val="00A71544"/>
    <w:rsid w:val="00AB56BB"/>
    <w:rsid w:val="00AC6ED0"/>
    <w:rsid w:val="00AD1331"/>
    <w:rsid w:val="00AD3504"/>
    <w:rsid w:val="00AF2055"/>
    <w:rsid w:val="00AF5014"/>
    <w:rsid w:val="00B1524D"/>
    <w:rsid w:val="00B1550F"/>
    <w:rsid w:val="00B3061E"/>
    <w:rsid w:val="00B34A21"/>
    <w:rsid w:val="00B34BE4"/>
    <w:rsid w:val="00B50F2D"/>
    <w:rsid w:val="00B72D93"/>
    <w:rsid w:val="00BA734C"/>
    <w:rsid w:val="00BD3E53"/>
    <w:rsid w:val="00BF11FB"/>
    <w:rsid w:val="00BF32CE"/>
    <w:rsid w:val="00BF649A"/>
    <w:rsid w:val="00C31C6D"/>
    <w:rsid w:val="00C51E2D"/>
    <w:rsid w:val="00C55D51"/>
    <w:rsid w:val="00C774D7"/>
    <w:rsid w:val="00CA4314"/>
    <w:rsid w:val="00CC197E"/>
    <w:rsid w:val="00CE04E6"/>
    <w:rsid w:val="00CE1F45"/>
    <w:rsid w:val="00CF49F6"/>
    <w:rsid w:val="00CF7C64"/>
    <w:rsid w:val="00D0267F"/>
    <w:rsid w:val="00D02A65"/>
    <w:rsid w:val="00D04455"/>
    <w:rsid w:val="00D13523"/>
    <w:rsid w:val="00D2263F"/>
    <w:rsid w:val="00D23E02"/>
    <w:rsid w:val="00D36DA2"/>
    <w:rsid w:val="00D4274C"/>
    <w:rsid w:val="00D50CDE"/>
    <w:rsid w:val="00D51678"/>
    <w:rsid w:val="00D5713E"/>
    <w:rsid w:val="00D64719"/>
    <w:rsid w:val="00D674FC"/>
    <w:rsid w:val="00D93C51"/>
    <w:rsid w:val="00D9444C"/>
    <w:rsid w:val="00DA1F07"/>
    <w:rsid w:val="00DB0C1F"/>
    <w:rsid w:val="00DB413E"/>
    <w:rsid w:val="00DB5A8F"/>
    <w:rsid w:val="00DC0530"/>
    <w:rsid w:val="00DC4B01"/>
    <w:rsid w:val="00DD602C"/>
    <w:rsid w:val="00E05315"/>
    <w:rsid w:val="00E14B74"/>
    <w:rsid w:val="00E23189"/>
    <w:rsid w:val="00E40CEE"/>
    <w:rsid w:val="00E67992"/>
    <w:rsid w:val="00E70063"/>
    <w:rsid w:val="00E81365"/>
    <w:rsid w:val="00E847AA"/>
    <w:rsid w:val="00E932D1"/>
    <w:rsid w:val="00E97484"/>
    <w:rsid w:val="00EA3267"/>
    <w:rsid w:val="00EC013F"/>
    <w:rsid w:val="00ED22F6"/>
    <w:rsid w:val="00F10FF9"/>
    <w:rsid w:val="00F1404D"/>
    <w:rsid w:val="00F2045A"/>
    <w:rsid w:val="00F2783E"/>
    <w:rsid w:val="00F332B0"/>
    <w:rsid w:val="00F47D1D"/>
    <w:rsid w:val="00F97CC8"/>
    <w:rsid w:val="00FA7CD6"/>
    <w:rsid w:val="00FB5587"/>
    <w:rsid w:val="00FC05CF"/>
    <w:rsid w:val="00FC2FA7"/>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2B1A1-9203-416A-92C3-14A61C724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Lord, John R</cp:lastModifiedBy>
  <cp:revision>14</cp:revision>
  <dcterms:created xsi:type="dcterms:W3CDTF">2025-03-11T15:30:00Z</dcterms:created>
  <dcterms:modified xsi:type="dcterms:W3CDTF">2025-03-11T16:04:00Z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